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7F" w:rsidRPr="004453D1" w:rsidRDefault="007A2A7F" w:rsidP="007A2A7F">
      <w:pPr>
        <w:pStyle w:val="ac"/>
        <w:tabs>
          <w:tab w:val="left" w:pos="851"/>
        </w:tabs>
        <w:jc w:val="both"/>
        <w:rPr>
          <w:rFonts w:ascii="Times New Roman" w:eastAsia="Times New Roman" w:hAnsi="Times New Roman"/>
          <w:bCs/>
          <w:kern w:val="32"/>
          <w:sz w:val="30"/>
          <w:szCs w:val="30"/>
          <w:lang w:eastAsia="ru-RU"/>
        </w:rPr>
      </w:pPr>
      <w:r w:rsidRPr="004453D1">
        <w:rPr>
          <w:rFonts w:ascii="Times New Roman" w:eastAsia="Times New Roman" w:hAnsi="Times New Roman"/>
          <w:bCs/>
          <w:kern w:val="32"/>
          <w:sz w:val="30"/>
          <w:szCs w:val="30"/>
          <w:lang w:eastAsia="ru-RU"/>
        </w:rPr>
        <w:t>ДОПОЛНИТЕЛЬНЫЕ МАТЕРИАЛЫ</w:t>
      </w:r>
    </w:p>
    <w:p w:rsidR="007A2A7F" w:rsidRPr="004453D1" w:rsidRDefault="007A2A7F" w:rsidP="007A2A7F">
      <w:pPr>
        <w:pStyle w:val="ac"/>
        <w:tabs>
          <w:tab w:val="left" w:pos="851"/>
        </w:tabs>
        <w:jc w:val="both"/>
        <w:rPr>
          <w:rFonts w:ascii="Times New Roman" w:eastAsia="Times New Roman" w:hAnsi="Times New Roman"/>
          <w:bCs/>
          <w:kern w:val="32"/>
          <w:sz w:val="30"/>
          <w:szCs w:val="30"/>
          <w:lang w:eastAsia="ru-RU"/>
        </w:rPr>
      </w:pPr>
      <w:r w:rsidRPr="004453D1">
        <w:rPr>
          <w:rFonts w:ascii="Times New Roman" w:eastAsia="Times New Roman" w:hAnsi="Times New Roman"/>
          <w:bCs/>
          <w:kern w:val="32"/>
          <w:sz w:val="30"/>
          <w:szCs w:val="30"/>
          <w:lang w:eastAsia="ru-RU"/>
        </w:rPr>
        <w:t>для членов информационно-пропагандистских групп</w:t>
      </w:r>
    </w:p>
    <w:p w:rsidR="007A2A7F" w:rsidRDefault="007A2A7F" w:rsidP="007A2A7F">
      <w:pPr>
        <w:pStyle w:val="ac"/>
        <w:widowControl w:val="0"/>
        <w:tabs>
          <w:tab w:val="left" w:pos="851"/>
        </w:tabs>
        <w:jc w:val="both"/>
        <w:rPr>
          <w:rFonts w:ascii="Times New Roman" w:hAnsi="Times New Roman"/>
          <w:bCs/>
          <w:sz w:val="30"/>
          <w:szCs w:val="30"/>
        </w:rPr>
      </w:pPr>
      <w:r w:rsidRPr="004453D1">
        <w:rPr>
          <w:rFonts w:ascii="Times New Roman" w:eastAsia="Times New Roman" w:hAnsi="Times New Roman"/>
          <w:bCs/>
          <w:kern w:val="32"/>
          <w:sz w:val="30"/>
          <w:szCs w:val="30"/>
          <w:lang w:eastAsia="ru-RU"/>
        </w:rPr>
        <w:t>(</w:t>
      </w:r>
      <w:r w:rsidR="00BF4F4F">
        <w:rPr>
          <w:rFonts w:ascii="Times New Roman" w:eastAsia="Times New Roman" w:hAnsi="Times New Roman"/>
          <w:bCs/>
          <w:kern w:val="32"/>
          <w:sz w:val="30"/>
          <w:szCs w:val="30"/>
          <w:lang w:eastAsia="ru-RU"/>
        </w:rPr>
        <w:t>август</w:t>
      </w:r>
      <w:r w:rsidRPr="004453D1">
        <w:rPr>
          <w:rFonts w:ascii="Times New Roman" w:eastAsia="Times New Roman" w:hAnsi="Times New Roman"/>
          <w:bCs/>
          <w:kern w:val="32"/>
          <w:sz w:val="30"/>
          <w:szCs w:val="30"/>
          <w:lang w:eastAsia="ru-RU"/>
        </w:rPr>
        <w:t xml:space="preserve"> 202</w:t>
      </w:r>
      <w:r>
        <w:rPr>
          <w:rFonts w:ascii="Times New Roman" w:eastAsia="Times New Roman" w:hAnsi="Times New Roman"/>
          <w:bCs/>
          <w:kern w:val="32"/>
          <w:sz w:val="30"/>
          <w:szCs w:val="30"/>
          <w:lang w:eastAsia="ru-RU"/>
        </w:rPr>
        <w:t>6</w:t>
      </w:r>
      <w:r w:rsidRPr="004453D1">
        <w:rPr>
          <w:rFonts w:ascii="Times New Roman" w:eastAsia="Times New Roman" w:hAnsi="Times New Roman"/>
          <w:bCs/>
          <w:kern w:val="32"/>
          <w:sz w:val="30"/>
          <w:szCs w:val="30"/>
          <w:lang w:eastAsia="ru-RU"/>
        </w:rPr>
        <w:t xml:space="preserve"> г.)</w:t>
      </w:r>
    </w:p>
    <w:p w:rsidR="007A2A7F" w:rsidRDefault="007A2A7F" w:rsidP="007A2A7F">
      <w:pPr>
        <w:pStyle w:val="ac"/>
        <w:widowControl w:val="0"/>
        <w:tabs>
          <w:tab w:val="left" w:pos="851"/>
        </w:tabs>
        <w:jc w:val="both"/>
        <w:rPr>
          <w:rFonts w:ascii="Times New Roman" w:hAnsi="Times New Roman"/>
          <w:bCs/>
          <w:sz w:val="30"/>
          <w:szCs w:val="30"/>
        </w:rPr>
      </w:pPr>
    </w:p>
    <w:p w:rsidR="00BF4F4F" w:rsidRPr="004A330D" w:rsidRDefault="00BF4F4F" w:rsidP="008F44D0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A3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ЭКОЛОГИЧЕСКАЯ КУЛЬТУРА – ОТВЕТСТВЕННОСТЬ КАЖДОГО </w:t>
      </w:r>
    </w:p>
    <w:p w:rsidR="00C50575" w:rsidRPr="0009669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8E1EC9">
        <w:rPr>
          <w:rFonts w:ascii="Times New Roman" w:hAnsi="Times New Roman" w:cs="Times New Roman"/>
          <w:b/>
          <w:bCs/>
          <w:sz w:val="30"/>
          <w:szCs w:val="30"/>
        </w:rPr>
        <w:t>Оценка состояния окружающей среды (экологической ситуации) в Речицком районе.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8E1EC9">
        <w:rPr>
          <w:rFonts w:ascii="Times New Roman" w:hAnsi="Times New Roman" w:cs="Times New Roman"/>
          <w:b/>
          <w:sz w:val="30"/>
          <w:szCs w:val="30"/>
        </w:rPr>
        <w:t>Экологическая ситуация в Речицком районе</w:t>
      </w:r>
      <w:r w:rsidRPr="008E1EC9">
        <w:rPr>
          <w:rFonts w:ascii="Times New Roman" w:hAnsi="Times New Roman" w:cs="Times New Roman"/>
          <w:sz w:val="30"/>
          <w:szCs w:val="30"/>
        </w:rPr>
        <w:t xml:space="preserve"> характеризуется как </w:t>
      </w:r>
      <w:r w:rsidRPr="008E1EC9">
        <w:rPr>
          <w:rFonts w:ascii="Times New Roman" w:hAnsi="Times New Roman" w:cs="Times New Roman"/>
          <w:b/>
          <w:bCs/>
          <w:sz w:val="30"/>
          <w:szCs w:val="30"/>
        </w:rPr>
        <w:t>стабильная и контролируемая</w:t>
      </w:r>
      <w:r w:rsidRPr="008E1EC9">
        <w:rPr>
          <w:rFonts w:ascii="Times New Roman" w:hAnsi="Times New Roman" w:cs="Times New Roman"/>
          <w:sz w:val="30"/>
          <w:szCs w:val="30"/>
        </w:rPr>
        <w:t xml:space="preserve">. Сохранение благоприятной окружающей среды и обеспечение экологической безопасности являются </w:t>
      </w:r>
      <w:r w:rsidRPr="008E1EC9">
        <w:rPr>
          <w:rFonts w:ascii="Times New Roman" w:hAnsi="Times New Roman" w:cs="Times New Roman"/>
          <w:b/>
          <w:sz w:val="30"/>
          <w:szCs w:val="30"/>
        </w:rPr>
        <w:t>безусловными приоритетами государственной политики</w:t>
      </w:r>
      <w:r w:rsidRPr="008E1EC9">
        <w:rPr>
          <w:rFonts w:ascii="Times New Roman" w:hAnsi="Times New Roman" w:cs="Times New Roman"/>
          <w:sz w:val="30"/>
          <w:szCs w:val="30"/>
        </w:rPr>
        <w:t>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Анализ статистических данных за последние 10 лет свидетельствует о </w:t>
      </w:r>
      <w:r w:rsidRPr="008E1EC9">
        <w:rPr>
          <w:rFonts w:ascii="Times New Roman" w:hAnsi="Times New Roman" w:cs="Times New Roman"/>
          <w:b/>
          <w:sz w:val="30"/>
          <w:szCs w:val="30"/>
        </w:rPr>
        <w:t>поступательном развитии природоохранной сферы</w:t>
      </w:r>
      <w:r w:rsidRPr="008E1EC9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8E1EC9">
        <w:rPr>
          <w:rFonts w:ascii="Times New Roman" w:hAnsi="Times New Roman" w:cs="Times New Roman"/>
          <w:b/>
          <w:bCs/>
          <w:sz w:val="30"/>
          <w:szCs w:val="30"/>
        </w:rPr>
        <w:t xml:space="preserve">Атмосферный воздух.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E1EC9">
        <w:rPr>
          <w:rFonts w:ascii="Times New Roman" w:hAnsi="Times New Roman" w:cs="Times New Roman"/>
          <w:bCs/>
          <w:sz w:val="30"/>
          <w:szCs w:val="30"/>
        </w:rPr>
        <w:t xml:space="preserve">Состояние атмосферного воздуха определяется </w:t>
      </w:r>
      <w:r w:rsidRPr="008E1EC9">
        <w:rPr>
          <w:rFonts w:ascii="Times New Roman" w:hAnsi="Times New Roman" w:cs="Times New Roman"/>
          <w:b/>
          <w:bCs/>
          <w:sz w:val="30"/>
          <w:szCs w:val="30"/>
        </w:rPr>
        <w:t>комплексом природных и антропогенных факторов</w:t>
      </w:r>
      <w:r w:rsidRPr="008E1EC9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E1EC9">
        <w:rPr>
          <w:rFonts w:ascii="Times New Roman" w:hAnsi="Times New Roman" w:cs="Times New Roman"/>
          <w:bCs/>
          <w:sz w:val="30"/>
          <w:szCs w:val="30"/>
        </w:rPr>
        <w:t xml:space="preserve">В Речицком районе функционирует </w:t>
      </w:r>
      <w:r w:rsidRPr="008E1EC9">
        <w:rPr>
          <w:rFonts w:ascii="Times New Roman" w:hAnsi="Times New Roman" w:cs="Times New Roman"/>
          <w:b/>
          <w:bCs/>
          <w:sz w:val="30"/>
          <w:szCs w:val="30"/>
        </w:rPr>
        <w:t>сеть мониторинга атмосферного воздуха</w:t>
      </w:r>
      <w:r w:rsidRPr="008E1EC9">
        <w:rPr>
          <w:rFonts w:ascii="Times New Roman" w:hAnsi="Times New Roman" w:cs="Times New Roman"/>
          <w:bCs/>
          <w:sz w:val="30"/>
          <w:szCs w:val="30"/>
        </w:rPr>
        <w:t>, обеспечивающая постоянный контроль качества воздушной среды в г. Речица.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8E1EC9">
        <w:rPr>
          <w:rFonts w:ascii="Times New Roman" w:hAnsi="Times New Roman" w:cs="Times New Roman"/>
          <w:bCs/>
          <w:sz w:val="30"/>
          <w:szCs w:val="30"/>
        </w:rPr>
        <w:t xml:space="preserve">Мониторинг атмосферного воздуха, проводимый в 2025-2026 гг. по 5 пунктам наблюдений и охватывающий подавляющее большинство городского населения, подтверждает: </w:t>
      </w:r>
      <w:r w:rsidRPr="008E1EC9">
        <w:rPr>
          <w:rFonts w:ascii="Times New Roman" w:hAnsi="Times New Roman" w:cs="Times New Roman"/>
          <w:b/>
          <w:bCs/>
          <w:sz w:val="30"/>
          <w:szCs w:val="30"/>
        </w:rPr>
        <w:t xml:space="preserve">состояние воздуха в г. Речице, оценивается как хорошее.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E1EC9">
        <w:rPr>
          <w:rFonts w:ascii="Times New Roman" w:hAnsi="Times New Roman" w:cs="Times New Roman"/>
          <w:bCs/>
          <w:sz w:val="30"/>
          <w:szCs w:val="30"/>
        </w:rPr>
        <w:t xml:space="preserve">Официальные статистические данные свидетельствуют о постоянном варьировании данных антропогенной нагрузки на атмосферный воздух </w:t>
      </w:r>
      <w:r w:rsidRPr="008E1EC9">
        <w:rPr>
          <w:rFonts w:ascii="Times New Roman" w:hAnsi="Times New Roman" w:cs="Times New Roman"/>
          <w:b/>
          <w:bCs/>
          <w:sz w:val="30"/>
          <w:szCs w:val="30"/>
        </w:rPr>
        <w:t>от умеренной до хорошей</w:t>
      </w:r>
      <w:r w:rsidRPr="008E1EC9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bCs/>
          <w:sz w:val="30"/>
          <w:szCs w:val="30"/>
        </w:rPr>
        <w:t xml:space="preserve">За десять лет с 2015 по 2025 год общий объем выбросов загрязняющих веществ в атмосферный воздух сократился на </w:t>
      </w:r>
      <w:r w:rsidRPr="008E1EC9">
        <w:rPr>
          <w:rFonts w:ascii="Times New Roman" w:hAnsi="Times New Roman" w:cs="Times New Roman"/>
          <w:b/>
          <w:bCs/>
          <w:sz w:val="30"/>
          <w:szCs w:val="30"/>
        </w:rPr>
        <w:t>30 %</w:t>
      </w:r>
      <w:r w:rsidRPr="008E1EC9">
        <w:rPr>
          <w:rFonts w:ascii="Times New Roman" w:hAnsi="Times New Roman" w:cs="Times New Roman"/>
          <w:bCs/>
          <w:sz w:val="30"/>
          <w:szCs w:val="30"/>
        </w:rPr>
        <w:t>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Особое внимание обращает на себя динамика выбросов от </w:t>
      </w:r>
      <w:r w:rsidRPr="008E1EC9">
        <w:rPr>
          <w:rFonts w:ascii="Times New Roman" w:hAnsi="Times New Roman" w:cs="Times New Roman"/>
          <w:b/>
          <w:sz w:val="30"/>
          <w:szCs w:val="30"/>
        </w:rPr>
        <w:t>мобильных источников</w:t>
      </w:r>
      <w:r w:rsidRPr="008E1EC9">
        <w:rPr>
          <w:rFonts w:ascii="Times New Roman" w:hAnsi="Times New Roman" w:cs="Times New Roman"/>
          <w:sz w:val="30"/>
          <w:szCs w:val="30"/>
        </w:rPr>
        <w:t xml:space="preserve">, то есть автомобильного транспорта. За период 2015 – 2025 годов объем таких выбросов сократился почти </w:t>
      </w:r>
      <w:r w:rsidRPr="008E1EC9">
        <w:rPr>
          <w:rFonts w:ascii="Times New Roman" w:hAnsi="Times New Roman" w:cs="Times New Roman"/>
          <w:b/>
          <w:sz w:val="30"/>
          <w:szCs w:val="30"/>
        </w:rPr>
        <w:t xml:space="preserve">в трое – </w:t>
      </w:r>
      <w:r w:rsidR="00D54CBE" w:rsidRPr="008E1EC9">
        <w:rPr>
          <w:rFonts w:ascii="Times New Roman" w:hAnsi="Times New Roman" w:cs="Times New Roman"/>
          <w:b/>
          <w:sz w:val="30"/>
          <w:szCs w:val="30"/>
        </w:rPr>
        <w:br/>
      </w:r>
      <w:r w:rsidRPr="008E1EC9">
        <w:rPr>
          <w:rFonts w:ascii="Times New Roman" w:hAnsi="Times New Roman" w:cs="Times New Roman"/>
          <w:b/>
          <w:sz w:val="30"/>
          <w:szCs w:val="30"/>
        </w:rPr>
        <w:t>на 30%</w:t>
      </w:r>
      <w:r w:rsidRPr="008E1EC9">
        <w:rPr>
          <w:rFonts w:ascii="Times New Roman" w:hAnsi="Times New Roman" w:cs="Times New Roman"/>
          <w:sz w:val="30"/>
          <w:szCs w:val="30"/>
        </w:rPr>
        <w:t xml:space="preserve">. В структуре общих выбросов загрязняющих веществ в атмосферный воздух доля мобильных источников снизилась </w:t>
      </w:r>
      <w:r w:rsidRPr="008E1EC9">
        <w:rPr>
          <w:rFonts w:ascii="Times New Roman" w:hAnsi="Times New Roman" w:cs="Times New Roman"/>
          <w:b/>
          <w:sz w:val="30"/>
          <w:szCs w:val="30"/>
        </w:rPr>
        <w:t>с 36,3 до 23,3%</w:t>
      </w:r>
      <w:r w:rsidRPr="008E1EC9">
        <w:rPr>
          <w:rFonts w:ascii="Times New Roman" w:hAnsi="Times New Roman" w:cs="Times New Roman"/>
          <w:sz w:val="30"/>
          <w:szCs w:val="30"/>
        </w:rPr>
        <w:t xml:space="preserve">. Данный результат достигнут благодаря последовательному </w:t>
      </w:r>
      <w:r w:rsidRPr="008E1EC9">
        <w:rPr>
          <w:rFonts w:ascii="Times New Roman" w:hAnsi="Times New Roman" w:cs="Times New Roman"/>
          <w:b/>
          <w:sz w:val="30"/>
          <w:szCs w:val="30"/>
        </w:rPr>
        <w:t>обновлению автомобильного парка</w:t>
      </w:r>
      <w:r w:rsidRPr="008E1EC9">
        <w:rPr>
          <w:rFonts w:ascii="Times New Roman" w:hAnsi="Times New Roman" w:cs="Times New Roman"/>
          <w:sz w:val="30"/>
          <w:szCs w:val="30"/>
        </w:rPr>
        <w:t xml:space="preserve">, внедрению более строгих экологических стандартов для транспортных средств, а также развитию электротранспорта. </w:t>
      </w:r>
    </w:p>
    <w:p w:rsidR="00C50575" w:rsidRPr="008E1EC9" w:rsidRDefault="00C50575" w:rsidP="00C5057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E1EC9">
        <w:rPr>
          <w:rFonts w:ascii="Times New Roman" w:hAnsi="Times New Roman" w:cs="Times New Roman"/>
          <w:bCs/>
          <w:sz w:val="30"/>
          <w:szCs w:val="30"/>
        </w:rPr>
        <w:t xml:space="preserve">Речицкий район обладает </w:t>
      </w:r>
      <w:r w:rsidRPr="008E1EC9">
        <w:rPr>
          <w:rFonts w:ascii="Times New Roman" w:hAnsi="Times New Roman" w:cs="Times New Roman"/>
          <w:b/>
          <w:bCs/>
          <w:sz w:val="30"/>
          <w:szCs w:val="30"/>
        </w:rPr>
        <w:t>значительным потенциалом водных ресурсов</w:t>
      </w:r>
      <w:r w:rsidRPr="008E1EC9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:rsidR="00C50575" w:rsidRPr="008E1EC9" w:rsidRDefault="00C50575" w:rsidP="00C5057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30"/>
          <w:szCs w:val="30"/>
        </w:rPr>
      </w:pP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lastRenderedPageBreak/>
        <w:t>Гидрографическая сеть Речицкого района представлена реками, ручьями, озерами и осушительными гидромелиоративными каналами. Наиболее значительными реками являются </w:t>
      </w:r>
      <w:r w:rsidRPr="008E1EC9">
        <w:rPr>
          <w:rFonts w:ascii="Times New Roman" w:hAnsi="Times New Roman" w:cs="Times New Roman"/>
          <w:b/>
          <w:bCs/>
          <w:sz w:val="30"/>
          <w:szCs w:val="30"/>
        </w:rPr>
        <w:t>р. Днепр</w:t>
      </w: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 с притоками </w:t>
      </w:r>
      <w:r w:rsidRPr="008E1EC9">
        <w:rPr>
          <w:rFonts w:ascii="Times New Roman" w:hAnsi="Times New Roman" w:cs="Times New Roman"/>
          <w:bCs/>
          <w:sz w:val="30"/>
          <w:szCs w:val="30"/>
        </w:rPr>
        <w:t xml:space="preserve">р. </w:t>
      </w:r>
      <w:r w:rsidRPr="008E1EC9">
        <w:rPr>
          <w:rFonts w:ascii="Times New Roman" w:hAnsi="Times New Roman" w:cs="Times New Roman"/>
          <w:b/>
          <w:bCs/>
          <w:sz w:val="30"/>
          <w:szCs w:val="30"/>
        </w:rPr>
        <w:t>Ведрич</w:t>
      </w:r>
      <w:r w:rsidRPr="008E1EC9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 и р. </w:t>
      </w:r>
      <w:r w:rsidRPr="008E1EC9">
        <w:rPr>
          <w:rFonts w:ascii="Times New Roman" w:hAnsi="Times New Roman" w:cs="Times New Roman"/>
          <w:b/>
          <w:bCs/>
          <w:sz w:val="30"/>
          <w:szCs w:val="30"/>
        </w:rPr>
        <w:t>Сведь</w:t>
      </w:r>
      <w:r w:rsidRPr="008E1EC9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.</w:t>
      </w: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 Территория Речицкого района полностью относится к водосбору </w:t>
      </w:r>
      <w:r w:rsidRPr="008E1EC9">
        <w:rPr>
          <w:rFonts w:ascii="Times New Roman" w:hAnsi="Times New Roman" w:cs="Times New Roman"/>
          <w:bCs/>
          <w:sz w:val="30"/>
          <w:szCs w:val="30"/>
        </w:rPr>
        <w:t>р. Днепр</w:t>
      </w: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 – одной из наиболее крупных рек </w:t>
      </w:r>
      <w:r w:rsidRPr="008E1EC9">
        <w:rPr>
          <w:rFonts w:ascii="Times New Roman" w:hAnsi="Times New Roman" w:cs="Times New Roman"/>
          <w:bCs/>
          <w:sz w:val="30"/>
          <w:szCs w:val="30"/>
        </w:rPr>
        <w:t>Беларуси</w:t>
      </w: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.</w:t>
      </w:r>
    </w:p>
    <w:p w:rsidR="00C50575" w:rsidRPr="008E1EC9" w:rsidRDefault="00C50575" w:rsidP="00C5057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30"/>
          <w:szCs w:val="30"/>
        </w:rPr>
      </w:pP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В Речицком районе расположено много небольших </w:t>
      </w:r>
      <w:r w:rsidRPr="008E1EC9">
        <w:rPr>
          <w:rFonts w:ascii="Times New Roman" w:hAnsi="Times New Roman" w:cs="Times New Roman"/>
          <w:bCs/>
          <w:sz w:val="30"/>
          <w:szCs w:val="30"/>
        </w:rPr>
        <w:t>озер</w:t>
      </w: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: Белый Берег, Великое, Ветвь, Гадынь, Ляхово, Святое, Святое, Хотемля Долгое, Кривой Гиров. Все они в основном пойменные. </w:t>
      </w:r>
    </w:p>
    <w:p w:rsidR="00C50575" w:rsidRPr="008E1EC9" w:rsidRDefault="00C50575" w:rsidP="00C505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30"/>
          <w:szCs w:val="30"/>
        </w:rPr>
      </w:pP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В Речицком районе </w:t>
      </w:r>
      <w:r w:rsidRPr="008E1EC9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функционирует система мониторинга поверхностных вод</w:t>
      </w: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. Мониторинг охватывает 2 реки Речицкого района – р.Днепр и </w:t>
      </w:r>
      <w:r w:rsidR="00484567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р</w:t>
      </w:r>
      <w:bookmarkStart w:id="0" w:name="_GoBack"/>
      <w:bookmarkEnd w:id="0"/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.Ведрич. По результатам наблюдений указанных водных объектов, вода в них имеет </w:t>
      </w:r>
      <w:r w:rsidRPr="008E1EC9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хороший и выше экологический статус</w:t>
      </w: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. Ухудшения экологического состояния (статуса) поверхностных водных объектов на территории Речицкого района в 2025 году не установлено.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E1EC9">
        <w:rPr>
          <w:rFonts w:ascii="Times New Roman" w:hAnsi="Times New Roman" w:cs="Times New Roman"/>
          <w:bCs/>
          <w:sz w:val="30"/>
          <w:szCs w:val="30"/>
        </w:rPr>
        <w:t>Запасы имеющихся пресных поверхностных и подземных вод достаточны для удовлетворения не только существующих, но и перспективных потребностей населения и отраслей экономики Речицкого района.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30"/>
          <w:szCs w:val="30"/>
        </w:rPr>
      </w:pPr>
      <w:r w:rsidRPr="008E1EC9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Показатель водного стресса</w:t>
      </w: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 в Речицком районе находится на безопасном уровне и составил в 2024 году всего порядка </w:t>
      </w:r>
      <w:r w:rsidRPr="008E1EC9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1%</w:t>
      </w: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 (в Гомельской области всего порядка 2,5 %).</w:t>
      </w:r>
    </w:p>
    <w:p w:rsidR="00C50575" w:rsidRPr="008E1EC9" w:rsidRDefault="00C50575" w:rsidP="00465B7C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Cs/>
          <w:i/>
          <w:color w:val="000000" w:themeColor="text1"/>
          <w:sz w:val="30"/>
          <w:szCs w:val="30"/>
        </w:rPr>
      </w:pPr>
      <w:r w:rsidRPr="008E1EC9">
        <w:rPr>
          <w:rFonts w:ascii="Times New Roman" w:hAnsi="Times New Roman" w:cs="Times New Roman"/>
          <w:bCs/>
          <w:i/>
          <w:color w:val="000000" w:themeColor="text1"/>
          <w:sz w:val="30"/>
          <w:szCs w:val="30"/>
        </w:rPr>
        <w:t xml:space="preserve">Справочно: интенсивность использования запасов пресной воды (водный стресс) определяется как отношение объема забора пресной воды к доступным запасам пресных водных ресурсов. Данный показатель выражается в процентах и соответствует индикатору 6.4.2 Целей устойчивого развития.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E1EC9">
        <w:rPr>
          <w:rFonts w:ascii="Times New Roman" w:hAnsi="Times New Roman" w:cs="Times New Roman"/>
          <w:bCs/>
          <w:sz w:val="30"/>
          <w:szCs w:val="30"/>
        </w:rPr>
        <w:t>На протяжении многих лет использование пресных вод на хозяйственно-питьевые нужды остается главной составляющей в водопользовании – это более 40 % от общего объема использования воды по области. При этом с 2000 года наблюдается устойчивая тенденция к сокращению удельного водопотребления на душу населения с 214 до 137 л/</w:t>
      </w:r>
      <w:proofErr w:type="spellStart"/>
      <w:r w:rsidRPr="008E1EC9">
        <w:rPr>
          <w:rFonts w:ascii="Times New Roman" w:hAnsi="Times New Roman" w:cs="Times New Roman"/>
          <w:bCs/>
          <w:sz w:val="30"/>
          <w:szCs w:val="30"/>
        </w:rPr>
        <w:t>сут</w:t>
      </w:r>
      <w:proofErr w:type="spellEnd"/>
      <w:r w:rsidRPr="008E1EC9">
        <w:rPr>
          <w:rFonts w:ascii="Times New Roman" w:hAnsi="Times New Roman" w:cs="Times New Roman"/>
          <w:bCs/>
          <w:sz w:val="30"/>
          <w:szCs w:val="30"/>
        </w:rPr>
        <w:t xml:space="preserve">/чел, что не превышает среднестатистические значения в европейских странах.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30"/>
          <w:szCs w:val="30"/>
        </w:rPr>
      </w:pP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Благодаря решениям Главы государства с 2025 года централизованное питьевое водоснабжение Республики Беларусь осуществляется </w:t>
      </w:r>
      <w:r w:rsidRPr="008E1EC9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только из подземных источников</w:t>
      </w: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, а Речицкий район перешел на водоснабжение исключительно из подземных источников с 2005 года.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30"/>
          <w:szCs w:val="30"/>
        </w:rPr>
      </w:pP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Вопрос водоснабжения неразрывно связан с организацией </w:t>
      </w:r>
      <w:r w:rsidRPr="008E1EC9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водоотведения</w:t>
      </w: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 и повышением качества очистки сточных вод.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lastRenderedPageBreak/>
        <w:t xml:space="preserve">За последние 10 лет доля сброса сточных вод с превышением нормативов допустимых сбросов химических и иных веществ, </w:t>
      </w:r>
      <w:r w:rsidRPr="008E1EC9">
        <w:rPr>
          <w:rFonts w:ascii="Times New Roman" w:hAnsi="Times New Roman" w:cs="Times New Roman"/>
          <w:sz w:val="30"/>
          <w:szCs w:val="30"/>
        </w:rPr>
        <w:t xml:space="preserve">незначительно колеблясь в пределах 0,1 – 0,3 % в отдельные годы, в среднем стабильно удерживается на минимальном уровне – </w:t>
      </w:r>
      <w:r w:rsidR="00465B7C" w:rsidRPr="008E1EC9">
        <w:rPr>
          <w:rFonts w:ascii="Times New Roman" w:hAnsi="Times New Roman" w:cs="Times New Roman"/>
          <w:b/>
          <w:sz w:val="30"/>
          <w:szCs w:val="30"/>
        </w:rPr>
        <w:t>около 0,2</w:t>
      </w:r>
      <w:r w:rsidRPr="008E1EC9">
        <w:rPr>
          <w:rFonts w:ascii="Times New Roman" w:hAnsi="Times New Roman" w:cs="Times New Roman"/>
          <w:b/>
          <w:sz w:val="30"/>
          <w:szCs w:val="30"/>
        </w:rPr>
        <w:t xml:space="preserve">% </w:t>
      </w:r>
      <w:r w:rsidRPr="008E1EC9">
        <w:rPr>
          <w:rFonts w:ascii="Times New Roman" w:hAnsi="Times New Roman" w:cs="Times New Roman"/>
          <w:sz w:val="30"/>
          <w:szCs w:val="30"/>
        </w:rPr>
        <w:t xml:space="preserve">от общего объема сброса. Доля безопасно очищаемых хозяйственно-бытовых и промышленных сточных вод в 2025 году составила </w:t>
      </w:r>
      <w:r w:rsidR="00465B7C" w:rsidRPr="008E1EC9">
        <w:rPr>
          <w:rFonts w:ascii="Times New Roman" w:hAnsi="Times New Roman" w:cs="Times New Roman"/>
          <w:b/>
          <w:sz w:val="30"/>
          <w:szCs w:val="30"/>
        </w:rPr>
        <w:t>99,9</w:t>
      </w:r>
      <w:r w:rsidRPr="008E1EC9">
        <w:rPr>
          <w:rFonts w:ascii="Times New Roman" w:hAnsi="Times New Roman" w:cs="Times New Roman"/>
          <w:b/>
          <w:sz w:val="30"/>
          <w:szCs w:val="30"/>
        </w:rPr>
        <w:t xml:space="preserve">% </w:t>
      </w:r>
      <w:r w:rsidRPr="008E1EC9">
        <w:rPr>
          <w:rFonts w:ascii="Times New Roman" w:hAnsi="Times New Roman" w:cs="Times New Roman"/>
          <w:sz w:val="30"/>
          <w:szCs w:val="30"/>
        </w:rPr>
        <w:t>от общего объема сбросов.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Для организации очистки применяются очистные сооружения </w:t>
      </w:r>
      <w:r w:rsidRPr="008E1EC9">
        <w:rPr>
          <w:rFonts w:ascii="Times New Roman" w:hAnsi="Times New Roman" w:cs="Times New Roman"/>
          <w:b/>
          <w:sz w:val="30"/>
          <w:szCs w:val="30"/>
        </w:rPr>
        <w:t>различных видов очистки</w:t>
      </w:r>
      <w:r w:rsidRPr="008E1EC9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Вместе с тем для дальнейшей работы по охране водных ресурсов условиях происходящих климатических изменений, улучшению экологического состояния (статуса) поверхностных водных объектов требуется реализация мероприятий по </w:t>
      </w:r>
      <w:r w:rsidRPr="008E1EC9">
        <w:rPr>
          <w:rFonts w:ascii="Times New Roman" w:hAnsi="Times New Roman" w:cs="Times New Roman"/>
          <w:b/>
          <w:sz w:val="30"/>
          <w:szCs w:val="30"/>
        </w:rPr>
        <w:t>сокращению объемов сброса недостаточно очищенных сточных вод</w:t>
      </w:r>
      <w:r w:rsidRPr="008E1EC9">
        <w:rPr>
          <w:rFonts w:ascii="Times New Roman" w:hAnsi="Times New Roman" w:cs="Times New Roman"/>
          <w:sz w:val="30"/>
          <w:szCs w:val="30"/>
        </w:rPr>
        <w:t xml:space="preserve">, повышению эффективности очистки сточных вод на коммунальных очистных сооружениях за счет их реконструкции и модернизации, сокращению используемых площадей и вывод из эксплуатации полей фильтрации, повышению эффективности водопользования за счет сокращения удельного водопотребления, непроизводительных потерь воды и внедрения 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водосберегающих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 xml:space="preserve"> технологий, увеличения объемов повторного использования очищенных сточных вод, в том числе поверхностных сточных вод, и др.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В соответствии с решением Гомельского областного Совета депутатов №376 от 09.09.2022, в 2025 году проведена реконструкция очистных сооружений г.Речица (объект: «Реконструкция очистных сооружений Речицкого опытно-промышленного гидролизного завода», расположенный в 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н.п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>.</w:t>
      </w:r>
      <w:r w:rsidR="00D54CBE" w:rsidRPr="008E1E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Бронное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 xml:space="preserve"> Речицкого района).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>На сегодняшний день, по данному объекту реализованы следующие мероприятия: выполнены строительно-монтажные работы, закуплено оборудование, введены в эксплуатацию 1 пусковой (31.12.2025 г.) и 2 пусковой комплексы (16.07.2026 г.). З</w:t>
      </w:r>
      <w:r w:rsidR="00D54CBE" w:rsidRPr="008E1EC9">
        <w:rPr>
          <w:rFonts w:ascii="Times New Roman" w:hAnsi="Times New Roman" w:cs="Times New Roman"/>
          <w:sz w:val="30"/>
          <w:szCs w:val="30"/>
        </w:rPr>
        <w:t>а</w:t>
      </w:r>
      <w:r w:rsidRPr="008E1EC9">
        <w:rPr>
          <w:rFonts w:ascii="Times New Roman" w:hAnsi="Times New Roman" w:cs="Times New Roman"/>
          <w:sz w:val="30"/>
          <w:szCs w:val="30"/>
        </w:rPr>
        <w:t>вершение всех работ по реконструкции очистных сооружений планируется завершить до конца 2026 года.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Беларусь, являясь одним из мировых лидеров по восстановлению болот и обладая крупнейшими в Европе естественными низинными болотами и обводненными поймами (занимает 15-е место в мире по площади торфяников и 21-е – по запасам депонированного углерода), первой в мире приняла уникальный </w:t>
      </w:r>
      <w:r w:rsidRPr="008E1EC9">
        <w:rPr>
          <w:rFonts w:ascii="Times New Roman" w:hAnsi="Times New Roman" w:cs="Times New Roman"/>
          <w:b/>
          <w:sz w:val="30"/>
          <w:szCs w:val="30"/>
        </w:rPr>
        <w:t>Закон «Об охране и использовании торфяников»</w:t>
      </w:r>
      <w:r w:rsidRPr="008E1EC9">
        <w:rPr>
          <w:rFonts w:ascii="Times New Roman" w:hAnsi="Times New Roman" w:cs="Times New Roman"/>
          <w:sz w:val="30"/>
          <w:szCs w:val="30"/>
        </w:rPr>
        <w:t xml:space="preserve">, который законодательно запретил добычу торфа на естественных болотах, разделил их на эксплуатируемые и заповедные, а также обязал проводить рекультивацию выработанных площадей исключительно через экологическую реабилитацию. Несмотря на то, что </w:t>
      </w:r>
      <w:r w:rsidRPr="008E1EC9">
        <w:rPr>
          <w:rFonts w:ascii="Times New Roman" w:hAnsi="Times New Roman" w:cs="Times New Roman"/>
          <w:sz w:val="30"/>
          <w:szCs w:val="30"/>
        </w:rPr>
        <w:lastRenderedPageBreak/>
        <w:t xml:space="preserve">до 2015 года наблюдалось постепенное сокращение болотных массивов, реализация Стратегии сохранения и рационального (устойчивого) использования торфяников и Схемы распределения торфяников по направлениям использования до 2030 года (утверждены постановлением Совета Министров Республики Беларусь от 30.12.2015 № 1111 «О вопросах в области сохранения и рационального (устойчивого) использования торфяников») позволили переломить эту тенденцию: наблюдается постепенный </w:t>
      </w:r>
      <w:r w:rsidRPr="008E1EC9">
        <w:rPr>
          <w:rFonts w:ascii="Times New Roman" w:hAnsi="Times New Roman" w:cs="Times New Roman"/>
          <w:b/>
          <w:sz w:val="30"/>
          <w:szCs w:val="30"/>
        </w:rPr>
        <w:t>рост их площадей.</w:t>
      </w:r>
      <w:r w:rsidRPr="008E1EC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b/>
          <w:sz w:val="30"/>
          <w:szCs w:val="30"/>
        </w:rPr>
        <w:t>В Речицком районе также планируется проведение работ в период 2027 – 2030 гг.</w:t>
      </w:r>
      <w:r w:rsidRPr="008E1EC9">
        <w:rPr>
          <w:rFonts w:ascii="Times New Roman" w:hAnsi="Times New Roman" w:cs="Times New Roman"/>
          <w:sz w:val="30"/>
          <w:szCs w:val="30"/>
        </w:rPr>
        <w:t xml:space="preserve"> по восстановлению 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гидрологичечского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 xml:space="preserve"> режима на болотах (участках болот), расположенных на территории Речицкого района, общей площадью 1 274 га.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E1EC9">
        <w:rPr>
          <w:rFonts w:ascii="Times New Roman" w:hAnsi="Times New Roman" w:cs="Times New Roman"/>
          <w:b/>
          <w:sz w:val="30"/>
          <w:szCs w:val="30"/>
        </w:rPr>
        <w:t>Биологическое и ландшафтное разнообразие.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Основную роль в сохранении </w:t>
      </w:r>
      <w:r w:rsidRPr="008E1EC9">
        <w:rPr>
          <w:rFonts w:ascii="Times New Roman" w:hAnsi="Times New Roman" w:cs="Times New Roman"/>
          <w:b/>
          <w:sz w:val="30"/>
          <w:szCs w:val="30"/>
        </w:rPr>
        <w:t>биологического и ландшафтного разнообразия играют особо охраняемые природные территории</w:t>
      </w:r>
      <w:r w:rsidRPr="008E1EC9">
        <w:rPr>
          <w:rFonts w:ascii="Times New Roman" w:hAnsi="Times New Roman" w:cs="Times New Roman"/>
          <w:sz w:val="30"/>
          <w:szCs w:val="30"/>
        </w:rPr>
        <w:t xml:space="preserve"> (далее – ООПТ).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За десятилетний период с 1 января 2016 г. по 1 января 2026 г. число особо охраняемых природных территорий в Республике Беларусь возросло на </w:t>
      </w:r>
      <w:r w:rsidRPr="008E1EC9">
        <w:rPr>
          <w:rFonts w:ascii="Times New Roman" w:hAnsi="Times New Roman" w:cs="Times New Roman"/>
          <w:b/>
          <w:sz w:val="30"/>
          <w:szCs w:val="30"/>
        </w:rPr>
        <w:t xml:space="preserve">91 </w:t>
      </w:r>
      <w:r w:rsidRPr="008E1EC9">
        <w:rPr>
          <w:rFonts w:ascii="Times New Roman" w:hAnsi="Times New Roman" w:cs="Times New Roman"/>
          <w:sz w:val="30"/>
          <w:szCs w:val="30"/>
        </w:rPr>
        <w:t xml:space="preserve">(достигнув </w:t>
      </w:r>
      <w:r w:rsidRPr="008E1EC9">
        <w:rPr>
          <w:rFonts w:ascii="Times New Roman" w:hAnsi="Times New Roman" w:cs="Times New Roman"/>
          <w:b/>
          <w:sz w:val="30"/>
          <w:szCs w:val="30"/>
        </w:rPr>
        <w:t>1356</w:t>
      </w:r>
      <w:r w:rsidRPr="008E1EC9">
        <w:rPr>
          <w:rFonts w:ascii="Times New Roman" w:hAnsi="Times New Roman" w:cs="Times New Roman"/>
          <w:sz w:val="30"/>
          <w:szCs w:val="30"/>
        </w:rPr>
        <w:t xml:space="preserve">), а их общая площадь составила около 1,9 млн 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га.Доля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 xml:space="preserve"> ООПТ</w:t>
      </w:r>
      <w:r w:rsidR="00465B7C" w:rsidRPr="008E1EC9">
        <w:rPr>
          <w:rFonts w:ascii="Times New Roman" w:hAnsi="Times New Roman" w:cs="Times New Roman"/>
          <w:sz w:val="30"/>
          <w:szCs w:val="30"/>
        </w:rPr>
        <w:t xml:space="preserve"> </w:t>
      </w:r>
      <w:r w:rsidRPr="008E1EC9">
        <w:rPr>
          <w:rFonts w:ascii="Times New Roman" w:hAnsi="Times New Roman" w:cs="Times New Roman"/>
          <w:sz w:val="30"/>
          <w:szCs w:val="30"/>
        </w:rPr>
        <w:t xml:space="preserve">в общей площади страны уверенно </w:t>
      </w:r>
      <w:r w:rsidRPr="008E1EC9">
        <w:rPr>
          <w:rFonts w:ascii="Times New Roman" w:hAnsi="Times New Roman" w:cs="Times New Roman"/>
          <w:b/>
          <w:sz w:val="30"/>
          <w:szCs w:val="30"/>
        </w:rPr>
        <w:t>выросла</w:t>
      </w:r>
      <w:r w:rsidR="00465B7C" w:rsidRPr="008E1EC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8E1EC9">
        <w:rPr>
          <w:rFonts w:ascii="Times New Roman" w:hAnsi="Times New Roman" w:cs="Times New Roman"/>
          <w:b/>
          <w:sz w:val="30"/>
          <w:szCs w:val="30"/>
        </w:rPr>
        <w:t>с 8,8 до 9,2 %.</w:t>
      </w:r>
    </w:p>
    <w:p w:rsidR="00C50575" w:rsidRPr="008E1EC9" w:rsidRDefault="00C50575" w:rsidP="00465B7C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E1EC9">
        <w:rPr>
          <w:rFonts w:ascii="Times New Roman" w:hAnsi="Times New Roman" w:cs="Times New Roman"/>
          <w:i/>
          <w:sz w:val="30"/>
          <w:szCs w:val="30"/>
        </w:rPr>
        <w:t>Справочно: на 01.07.2026 в Речицком районе имеются следующие особо охраняемые природные территории: республиканский ландшафтный заказник «Смычок», Гидрологический заказник местного значения «</w:t>
      </w:r>
      <w:proofErr w:type="spellStart"/>
      <w:r w:rsidRPr="008E1EC9">
        <w:rPr>
          <w:rFonts w:ascii="Times New Roman" w:hAnsi="Times New Roman" w:cs="Times New Roman"/>
          <w:i/>
          <w:sz w:val="30"/>
          <w:szCs w:val="30"/>
        </w:rPr>
        <w:t>Закрошинский</w:t>
      </w:r>
      <w:proofErr w:type="spellEnd"/>
      <w:r w:rsidRPr="008E1EC9">
        <w:rPr>
          <w:rFonts w:ascii="Times New Roman" w:hAnsi="Times New Roman" w:cs="Times New Roman"/>
          <w:i/>
          <w:sz w:val="30"/>
          <w:szCs w:val="30"/>
        </w:rPr>
        <w:t xml:space="preserve"> Мох», Памятник природы республиканского значения «Дубрава» (ботанический памятник природы республиканского значения «Участок уникальной дубравы «Речицкий» в </w:t>
      </w:r>
      <w:proofErr w:type="spellStart"/>
      <w:r w:rsidRPr="008E1EC9">
        <w:rPr>
          <w:rFonts w:ascii="Times New Roman" w:hAnsi="Times New Roman" w:cs="Times New Roman"/>
          <w:i/>
          <w:sz w:val="30"/>
          <w:szCs w:val="30"/>
        </w:rPr>
        <w:t>н.п</w:t>
      </w:r>
      <w:proofErr w:type="spellEnd"/>
      <w:r w:rsidRPr="008E1EC9">
        <w:rPr>
          <w:rFonts w:ascii="Times New Roman" w:hAnsi="Times New Roman" w:cs="Times New Roman"/>
          <w:i/>
          <w:sz w:val="30"/>
          <w:szCs w:val="30"/>
        </w:rPr>
        <w:t xml:space="preserve">. </w:t>
      </w:r>
      <w:proofErr w:type="spellStart"/>
      <w:r w:rsidRPr="008E1EC9">
        <w:rPr>
          <w:rFonts w:ascii="Times New Roman" w:hAnsi="Times New Roman" w:cs="Times New Roman"/>
          <w:i/>
          <w:sz w:val="30"/>
          <w:szCs w:val="30"/>
        </w:rPr>
        <w:t>Узнож</w:t>
      </w:r>
      <w:proofErr w:type="spellEnd"/>
      <w:r w:rsidRPr="008E1EC9">
        <w:rPr>
          <w:rFonts w:ascii="Times New Roman" w:hAnsi="Times New Roman" w:cs="Times New Roman"/>
          <w:i/>
          <w:sz w:val="30"/>
          <w:szCs w:val="30"/>
        </w:rPr>
        <w:t>), а также памятники природы местного значения (4 шт.)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>Региональной схемой рационального размещения особо-охраняемых природных территорий местного значения на 2024-2033 гг., утвержденной решением Гомельского областного Совета депутатов от 27.12.2023 №514, предусмотрено в 2027-2028 гг. объявление Гидрологического заказника местного значения «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Закрошинский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 xml:space="preserve"> мох» (общей площадью 680 га), а также, в связи с изменением границ, площади, режима охраны и использования, запланировано преобразование ботанических памятников природы местного значения «Два дуба», «Насаждение дуба», «Участки широколиственно-сосновых лесов» и геологического памятника природы местного значения «Место поселения древнего человека (бронзовый век). На сегодняшний день, имеются подготовленные научные и технико-экономические </w:t>
      </w:r>
      <w:r w:rsidRPr="008E1EC9">
        <w:rPr>
          <w:rFonts w:ascii="Times New Roman" w:hAnsi="Times New Roman" w:cs="Times New Roman"/>
          <w:sz w:val="30"/>
          <w:szCs w:val="30"/>
        </w:rPr>
        <w:lastRenderedPageBreak/>
        <w:t xml:space="preserve">обоснования по данному вопросу. Реализация указанных мероприятий </w:t>
      </w:r>
      <w:r w:rsidR="00465B7C" w:rsidRPr="008E1EC9">
        <w:rPr>
          <w:rFonts w:ascii="Times New Roman" w:hAnsi="Times New Roman" w:cs="Times New Roman"/>
          <w:sz w:val="30"/>
          <w:szCs w:val="30"/>
        </w:rPr>
        <w:t>планируется в конце</w:t>
      </w:r>
      <w:r w:rsidRPr="008E1EC9">
        <w:rPr>
          <w:rFonts w:ascii="Times New Roman" w:hAnsi="Times New Roman" w:cs="Times New Roman"/>
          <w:sz w:val="30"/>
          <w:szCs w:val="30"/>
        </w:rPr>
        <w:t xml:space="preserve"> 2026 года - начало 2027 года.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>В целях предотвращения деградации экосистем осуществляется комплекс мер по защите среды обитания, направленный на сохранение биологического разнообразия и поддержание климатической устойчивости, в том числе путем передачи под охрану мест обитания диких животных и мест произрастания дикорастущих растений, виды которых включены в Красную книгу Республики Беларусь, а также типичных и (или) редких природных ландшафтов и биотопов.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В Речицком районе выявлены места обитания 7 видов диких животных (белоспинный дятел, соня орешниковая, желтушка 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торфяниковая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плоскотелка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 xml:space="preserve"> красная, бронзовый (малый) 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красотел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>, бронзовка мраморная, бронзовка большая зеленая) и диких растений (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любка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 xml:space="preserve"> зеленоцветковая, лук медвежий или черемша, зубянка клубненосная), включенных в Красную книгу Республики Беларусь, подлежащих передаче под охрану государственному лесохозяйственному учреждению «Василевичский лесхоз». Данные места обитания и произрастания обследованы с участием землепользователя и составлением актов. Работы по передаче их под охрану находятся на завершающей стадии.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работа по озеленению городских территорий.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В результате принятых мер уровень 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озелененности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 xml:space="preserve"> достиг требуемого показателя в Речицком районе составил 51 %</w:t>
      </w:r>
      <w:r w:rsidR="00465B7C" w:rsidRPr="008E1EC9">
        <w:rPr>
          <w:rFonts w:ascii="Times New Roman" w:hAnsi="Times New Roman" w:cs="Times New Roman"/>
          <w:sz w:val="30"/>
          <w:szCs w:val="30"/>
        </w:rPr>
        <w:t>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>Сохранение экологического баланса требует не только стратегического управления ресурсами, но и активной защиты самих экосистем от внешних угроз. Важным аспектом этой работы является борьба с инвазивными видами растений, которые нарушают природное равновесие и представляют прямую опасность для здоровья людей и аборигенной флоры.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Мероприятия по регулированию распространения и численности инвазивных видов, таких как борщевик Сосновского и золотарник канадский, осуществляются </w:t>
      </w:r>
      <w:proofErr w:type="gramStart"/>
      <w:r w:rsidRPr="008E1EC9">
        <w:rPr>
          <w:rFonts w:ascii="Times New Roman" w:hAnsi="Times New Roman" w:cs="Times New Roman"/>
          <w:sz w:val="30"/>
          <w:szCs w:val="30"/>
        </w:rPr>
        <w:t>в рамках</w:t>
      </w:r>
      <w:proofErr w:type="gramEnd"/>
      <w:r w:rsidRPr="008E1EC9">
        <w:rPr>
          <w:rFonts w:ascii="Times New Roman" w:hAnsi="Times New Roman" w:cs="Times New Roman"/>
          <w:sz w:val="30"/>
          <w:szCs w:val="30"/>
        </w:rPr>
        <w:t xml:space="preserve"> утверждаемых Правительством Республики Беларусь планов по наведению порядка на земле, а также соответствующих районных планов.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>Для борьбы с данными видами применяются три основных метода: механический, химический и комбинированный. Практика показывает, что наибольшую эффективность демонстрирует химический метод, при условии проведения обработки строго до начала цветения растений.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lastRenderedPageBreak/>
        <w:t>Несмотря на принимаемые меры и проведенные мероприятия по регулированию распространения и численности инвазивных видов растений, произрастающих на территории Речицкого района, добиться полного уничтожения мест произрастания борщевика Сосновского и золотарника канадского в 2025 году не представилось возможным. Однако, удалось снизить площади произрастания борщевика Сосновского. Так, за 2025 год площадь произрастания борщевика Сосновского уменьшена на 0,11 га.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>По состоянию на 1 июля 2026 года обеспечена обработка территории борщевика Сосновского на площади 0,83 га, а золотарника канадского на площади 2,16 га.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Борьба с 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инвазивами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 xml:space="preserve"> – задача не краткосрочная, а долгосрочная, требующая постоянства, координации и применения комплекса мер.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Проблема кроется, как в биологических особенностях видов, включая высокую семенную продуктивность, способность к вегетативному восстановлению и агрессивное заселение нарушенных и 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антропогенно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 xml:space="preserve"> трансформированных территорий, так и в низкой мотивации землепользователей. Многие землепользователи устраняются от борьбы с инвазивными растениями. </w:t>
      </w:r>
    </w:p>
    <w:p w:rsidR="00C50575" w:rsidRPr="008E1EC9" w:rsidRDefault="00C50575" w:rsidP="00465B7C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E1EC9">
        <w:rPr>
          <w:rFonts w:ascii="Times New Roman" w:hAnsi="Times New Roman" w:cs="Times New Roman"/>
          <w:i/>
          <w:sz w:val="30"/>
          <w:szCs w:val="30"/>
        </w:rPr>
        <w:t>Справочно: требования по проведению обработки установлены техническим кодексом установившейся практики ТКП 17.05-03-2020 (33140) «Требование к проведению работ по ограничению распространения и численности инвазивных растений (борщевика Сосновского, золотарника канадского, и других инвазивных растений) различными методами».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>При этом за невыполнение пользователями земельных участков мероприятий по регулированию распространения и численности борщевика Сосновского и золотарника канадского предусмотрена административная ответственность.</w:t>
      </w:r>
    </w:p>
    <w:p w:rsidR="00C50575" w:rsidRPr="008E1EC9" w:rsidRDefault="00C50575" w:rsidP="008E1EC9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E1EC9">
        <w:rPr>
          <w:rFonts w:ascii="Times New Roman" w:hAnsi="Times New Roman" w:cs="Times New Roman"/>
          <w:i/>
          <w:sz w:val="30"/>
          <w:szCs w:val="30"/>
        </w:rPr>
        <w:t>Справочно: с 19 июня 2026 года вступила в силу новая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(10 БВ).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>В процессе экономического развития Речицкого района наблюдается устойчивая тенденция к увеличению объемов образования как твердых коммунальных, так и отходов производства. Это объективный процесс, сопровождающий рост уровня жизни населения и расширение производственных мощностей.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lastRenderedPageBreak/>
        <w:t>Одним из основных принципов в области обращения с отходами является приоритетность их использования по отношению к обезвреживанию или захоронению и приоритетность обезвреживания по отношению к их захоронению. В настоящее время в Речицком районе зарегистрировано 11 объектов по использованию отходов.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>Доля использованных ТКО в общей массе образовавшихся отходов возросла с 53 % (2025 г.) до 57 % (2026 г.).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>Таким образом, объем используемых коммунальных отходов возрастает, что является результатом реализации государственной политики по развитию инфраструктуры раздельного сбора и переработки отходов.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E1EC9">
        <w:rPr>
          <w:rFonts w:ascii="Times New Roman" w:hAnsi="Times New Roman" w:cs="Times New Roman"/>
          <w:b/>
          <w:sz w:val="30"/>
          <w:szCs w:val="30"/>
        </w:rPr>
        <w:t>Работа по повышению экологической культуры граждан Беларуси.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b/>
          <w:sz w:val="30"/>
          <w:szCs w:val="30"/>
        </w:rPr>
        <w:t>Экологическая культура</w:t>
      </w:r>
      <w:r w:rsidRPr="008E1EC9">
        <w:rPr>
          <w:rFonts w:ascii="Times New Roman" w:hAnsi="Times New Roman" w:cs="Times New Roman"/>
          <w:sz w:val="30"/>
          <w:szCs w:val="30"/>
        </w:rPr>
        <w:t xml:space="preserve"> – это системный процесс и реализуется в нескольких направлениях.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>Важнейшим элементом государственной экологической политики является система непрерывного экологического образования и воспитания. Она реализуется на всех уровнях от дошкольных учреждений до учреждений высшего образования, обеспечивая последовательное формирование экологических компетенций у граждан.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>Речицкая районная инспекция природных ресурсов и охраны окружающей среды (далее – инспекция) в рамках компетенции участвует в проводимой в районе работе по просвещению в области охраны окружающей среды, формированию экологической культуры населения.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Как показывает практика работы, наиболее эффективным способом доведения экологических знаний, разъяснения законодательства и складывающихся тенденций с состоянием окружающей среды, является непосредственно участие специалистов инспекции в обучающих мероприятиях. 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В рамках работы по экологическому просвещению с учащимися средних учебных заведений, сотрудниками инспекции проводится демонстрация </w:t>
      </w:r>
      <w:proofErr w:type="gramStart"/>
      <w:r w:rsidRPr="008E1EC9">
        <w:rPr>
          <w:rFonts w:ascii="Times New Roman" w:hAnsi="Times New Roman" w:cs="Times New Roman"/>
          <w:sz w:val="30"/>
          <w:szCs w:val="30"/>
        </w:rPr>
        <w:t>видео-проектов</w:t>
      </w:r>
      <w:proofErr w:type="gramEnd"/>
      <w:r w:rsidRPr="008E1EC9">
        <w:rPr>
          <w:rFonts w:ascii="Times New Roman" w:hAnsi="Times New Roman" w:cs="Times New Roman"/>
          <w:sz w:val="30"/>
          <w:szCs w:val="30"/>
        </w:rPr>
        <w:t xml:space="preserve"> «Природное богатство: цена чистоты» и «Экология города».</w:t>
      </w:r>
    </w:p>
    <w:p w:rsidR="00C50575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 xml:space="preserve">Особое место занимает развитие экологического туризма, который через непосредственный контакт с природой формирует бережное отношение к ней. </w:t>
      </w:r>
    </w:p>
    <w:p w:rsidR="00BF4F4F" w:rsidRPr="008E1EC9" w:rsidRDefault="00C50575" w:rsidP="00C50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1EC9">
        <w:rPr>
          <w:rFonts w:ascii="Times New Roman" w:hAnsi="Times New Roman" w:cs="Times New Roman"/>
          <w:sz w:val="30"/>
          <w:szCs w:val="30"/>
        </w:rPr>
        <w:t>Важным элементом экологической культуры стало сохранение чистоты и порядка – инициативы, ставшие настоящей «</w:t>
      </w:r>
      <w:proofErr w:type="spellStart"/>
      <w:r w:rsidRPr="008E1EC9">
        <w:rPr>
          <w:rFonts w:ascii="Times New Roman" w:hAnsi="Times New Roman" w:cs="Times New Roman"/>
          <w:sz w:val="30"/>
          <w:szCs w:val="30"/>
        </w:rPr>
        <w:t>экопривычкой</w:t>
      </w:r>
      <w:proofErr w:type="spellEnd"/>
      <w:r w:rsidRPr="008E1EC9">
        <w:rPr>
          <w:rFonts w:ascii="Times New Roman" w:hAnsi="Times New Roman" w:cs="Times New Roman"/>
          <w:sz w:val="30"/>
          <w:szCs w:val="30"/>
        </w:rPr>
        <w:t xml:space="preserve">» белорусов. Традиционные субботники, акции по озеленению и раздельный сбор отходов отличаются повсеместной доступностью. Принять участие может каждый житель региона независимо от места </w:t>
      </w:r>
      <w:r w:rsidRPr="008E1EC9">
        <w:rPr>
          <w:rFonts w:ascii="Times New Roman" w:hAnsi="Times New Roman" w:cs="Times New Roman"/>
          <w:sz w:val="30"/>
          <w:szCs w:val="30"/>
        </w:rPr>
        <w:lastRenderedPageBreak/>
        <w:t>проживания, что обеспечивает широкий охват и массовость экологического движения.</w:t>
      </w:r>
    </w:p>
    <w:p w:rsidR="0094012E" w:rsidRPr="008E1EC9" w:rsidRDefault="0094012E" w:rsidP="00C15466">
      <w:pPr>
        <w:pStyle w:val="a3"/>
        <w:shd w:val="clear" w:color="auto" w:fill="FFFFFF"/>
        <w:spacing w:before="0" w:beforeAutospacing="0" w:after="0" w:afterAutospacing="0"/>
        <w:ind w:right="-143"/>
        <w:jc w:val="both"/>
        <w:rPr>
          <w:sz w:val="30"/>
          <w:szCs w:val="30"/>
        </w:rPr>
      </w:pPr>
    </w:p>
    <w:p w:rsidR="00331FDC" w:rsidRPr="008E1EC9" w:rsidRDefault="008F44D0" w:rsidP="008E1EC9">
      <w:pPr>
        <w:widowControl w:val="0"/>
        <w:spacing w:after="0" w:line="300" w:lineRule="exact"/>
        <w:ind w:left="4962"/>
        <w:jc w:val="both"/>
        <w:rPr>
          <w:rFonts w:ascii="Times New Roman" w:hAnsi="Times New Roman" w:cs="Times New Roman"/>
          <w:i/>
          <w:sz w:val="30"/>
          <w:szCs w:val="30"/>
          <w:shd w:val="clear" w:color="auto" w:fill="FFFFFF"/>
        </w:rPr>
      </w:pPr>
      <w:r w:rsidRPr="008E1EC9">
        <w:rPr>
          <w:rFonts w:ascii="Times New Roman" w:hAnsi="Times New Roman" w:cs="Times New Roman"/>
          <w:i/>
          <w:sz w:val="30"/>
          <w:szCs w:val="30"/>
        </w:rPr>
        <w:t>Материал подготовлен</w:t>
      </w:r>
      <w:r w:rsidR="008E1EC9">
        <w:rPr>
          <w:rFonts w:ascii="Times New Roman" w:hAnsi="Times New Roman" w:cs="Times New Roman"/>
          <w:i/>
          <w:iCs/>
          <w:sz w:val="30"/>
          <w:szCs w:val="30"/>
        </w:rPr>
        <w:br/>
      </w:r>
      <w:r w:rsidR="00465B7C" w:rsidRPr="008E1EC9">
        <w:rPr>
          <w:rFonts w:ascii="Times New Roman" w:hAnsi="Times New Roman" w:cs="Times New Roman"/>
          <w:i/>
          <w:iCs/>
          <w:sz w:val="30"/>
          <w:szCs w:val="30"/>
        </w:rPr>
        <w:t>Речицкой районной инспекци</w:t>
      </w:r>
      <w:r w:rsidR="008E1EC9">
        <w:rPr>
          <w:rFonts w:ascii="Times New Roman" w:hAnsi="Times New Roman" w:cs="Times New Roman"/>
          <w:i/>
          <w:iCs/>
          <w:sz w:val="30"/>
          <w:szCs w:val="30"/>
        </w:rPr>
        <w:t xml:space="preserve">ей </w:t>
      </w:r>
      <w:r w:rsidR="00465B7C" w:rsidRPr="008E1EC9">
        <w:rPr>
          <w:rFonts w:ascii="Times New Roman" w:hAnsi="Times New Roman" w:cs="Times New Roman"/>
          <w:i/>
          <w:iCs/>
          <w:sz w:val="30"/>
          <w:szCs w:val="30"/>
        </w:rPr>
        <w:t>природных ресурсов и охраны окружающей среды</w:t>
      </w:r>
      <w:r w:rsidR="008E1EC9">
        <w:rPr>
          <w:rFonts w:ascii="Times New Roman" w:hAnsi="Times New Roman" w:cs="Times New Roman"/>
          <w:i/>
          <w:iCs/>
          <w:sz w:val="30"/>
          <w:szCs w:val="30"/>
        </w:rPr>
        <w:t>,</w:t>
      </w:r>
      <w:r w:rsidR="00465B7C" w:rsidRPr="008E1EC9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Pr="008E1EC9">
        <w:rPr>
          <w:rFonts w:ascii="Times New Roman" w:hAnsi="Times New Roman" w:cs="Times New Roman"/>
          <w:i/>
          <w:iCs/>
          <w:sz w:val="30"/>
          <w:szCs w:val="30"/>
        </w:rPr>
        <w:t xml:space="preserve">отделом идеологической работы и по делам молодежи Речицкого райисполкома на основе информации Академии управления при </w:t>
      </w:r>
      <w:r w:rsidR="008E1EC9" w:rsidRPr="008E1EC9">
        <w:rPr>
          <w:rFonts w:ascii="Times New Roman" w:hAnsi="Times New Roman" w:cs="Times New Roman"/>
          <w:i/>
          <w:iCs/>
          <w:sz w:val="30"/>
          <w:szCs w:val="30"/>
        </w:rPr>
        <w:t>Президенте Республики Беларусь</w:t>
      </w:r>
    </w:p>
    <w:p w:rsidR="00465B7C" w:rsidRPr="00331FDC" w:rsidRDefault="00465B7C">
      <w:pPr>
        <w:pStyle w:val="a3"/>
        <w:shd w:val="clear" w:color="auto" w:fill="FFFFFF"/>
        <w:spacing w:before="0" w:beforeAutospacing="0" w:after="0" w:afterAutospacing="0"/>
        <w:ind w:left="4248" w:right="-143"/>
        <w:rPr>
          <w:i/>
          <w:sz w:val="26"/>
          <w:szCs w:val="26"/>
          <w:shd w:val="clear" w:color="auto" w:fill="FFFFFF"/>
        </w:rPr>
      </w:pPr>
    </w:p>
    <w:sectPr w:rsidR="00465B7C" w:rsidRPr="00331FDC" w:rsidSect="0002005C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E7A" w:rsidRDefault="00E60E7A" w:rsidP="0002005C">
      <w:pPr>
        <w:spacing w:after="0" w:line="240" w:lineRule="auto"/>
      </w:pPr>
      <w:r>
        <w:separator/>
      </w:r>
    </w:p>
  </w:endnote>
  <w:endnote w:type="continuationSeparator" w:id="0">
    <w:p w:rsidR="00E60E7A" w:rsidRDefault="00E60E7A" w:rsidP="0002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E7A" w:rsidRDefault="00E60E7A" w:rsidP="0002005C">
      <w:pPr>
        <w:spacing w:after="0" w:line="240" w:lineRule="auto"/>
      </w:pPr>
      <w:r>
        <w:separator/>
      </w:r>
    </w:p>
  </w:footnote>
  <w:footnote w:type="continuationSeparator" w:id="0">
    <w:p w:rsidR="00E60E7A" w:rsidRDefault="00E60E7A" w:rsidP="00020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56691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77044" w:rsidRPr="0002005C" w:rsidRDefault="00C77044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2005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2005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2005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4567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02005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77044" w:rsidRDefault="00C7704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A7F" w:rsidRDefault="007A2A7F">
    <w:pPr>
      <w:pStyle w:val="a5"/>
    </w:pPr>
    <w:r>
      <w:tab/>
    </w:r>
    <w:r>
      <w:tab/>
    </w:r>
    <w:r w:rsidRPr="004453D1">
      <w:rPr>
        <w:rFonts w:ascii="Times New Roman" w:hAnsi="Times New Roman" w:cs="Times New Roman"/>
        <w:sz w:val="26"/>
        <w:szCs w:val="26"/>
      </w:rPr>
      <w:t>Районный материал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D16A2"/>
    <w:multiLevelType w:val="hybridMultilevel"/>
    <w:tmpl w:val="5AC473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5B"/>
    <w:rsid w:val="0002005C"/>
    <w:rsid w:val="000815CC"/>
    <w:rsid w:val="000C510E"/>
    <w:rsid w:val="000D1CBF"/>
    <w:rsid w:val="00150B67"/>
    <w:rsid w:val="001A5C1B"/>
    <w:rsid w:val="002062FD"/>
    <w:rsid w:val="00272D3A"/>
    <w:rsid w:val="00331FDC"/>
    <w:rsid w:val="003641C0"/>
    <w:rsid w:val="00380A93"/>
    <w:rsid w:val="004365CE"/>
    <w:rsid w:val="00465B7C"/>
    <w:rsid w:val="00484567"/>
    <w:rsid w:val="00487D78"/>
    <w:rsid w:val="004B0DCD"/>
    <w:rsid w:val="00506913"/>
    <w:rsid w:val="00527F7F"/>
    <w:rsid w:val="00534EF4"/>
    <w:rsid w:val="00544C2F"/>
    <w:rsid w:val="00572546"/>
    <w:rsid w:val="00595CCF"/>
    <w:rsid w:val="0063485B"/>
    <w:rsid w:val="00715C98"/>
    <w:rsid w:val="007A2A7F"/>
    <w:rsid w:val="007A7179"/>
    <w:rsid w:val="007E2959"/>
    <w:rsid w:val="00802D66"/>
    <w:rsid w:val="00806D0F"/>
    <w:rsid w:val="00872A4A"/>
    <w:rsid w:val="008E1EC9"/>
    <w:rsid w:val="008F44D0"/>
    <w:rsid w:val="0094012E"/>
    <w:rsid w:val="009578F5"/>
    <w:rsid w:val="009605A6"/>
    <w:rsid w:val="00972D53"/>
    <w:rsid w:val="009754C6"/>
    <w:rsid w:val="00982F8D"/>
    <w:rsid w:val="009B6B48"/>
    <w:rsid w:val="00AF26A1"/>
    <w:rsid w:val="00B168F5"/>
    <w:rsid w:val="00B65ADB"/>
    <w:rsid w:val="00BA15EE"/>
    <w:rsid w:val="00BF4F4F"/>
    <w:rsid w:val="00C15466"/>
    <w:rsid w:val="00C17E3E"/>
    <w:rsid w:val="00C50575"/>
    <w:rsid w:val="00C77044"/>
    <w:rsid w:val="00CB677A"/>
    <w:rsid w:val="00CD4D2B"/>
    <w:rsid w:val="00CE483D"/>
    <w:rsid w:val="00CF4A89"/>
    <w:rsid w:val="00D22431"/>
    <w:rsid w:val="00D54CBE"/>
    <w:rsid w:val="00D967A5"/>
    <w:rsid w:val="00DF06E9"/>
    <w:rsid w:val="00E37040"/>
    <w:rsid w:val="00E60E7A"/>
    <w:rsid w:val="00E7278D"/>
    <w:rsid w:val="00E942DD"/>
    <w:rsid w:val="00EB57C5"/>
    <w:rsid w:val="00F63F39"/>
    <w:rsid w:val="00FC1A0C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1C49"/>
  <w15:chartTrackingRefBased/>
  <w15:docId w15:val="{C4CAB409-D5B1-48F1-854D-210432D2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7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278D"/>
  </w:style>
  <w:style w:type="paragraph" w:styleId="a3">
    <w:name w:val="Normal (Web)"/>
    <w:basedOn w:val="a"/>
    <w:uiPriority w:val="99"/>
    <w:unhideWhenUsed/>
    <w:rsid w:val="00E9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26A1"/>
    <w:pPr>
      <w:suppressAutoHyphens/>
      <w:spacing w:line="252" w:lineRule="auto"/>
      <w:ind w:left="720"/>
      <w:contextualSpacing/>
    </w:pPr>
    <w:rPr>
      <w:rFonts w:ascii="Calibri" w:eastAsia="Calibri" w:hAnsi="Calibri" w:cs="Calibri"/>
    </w:rPr>
  </w:style>
  <w:style w:type="paragraph" w:customStyle="1" w:styleId="ConsPlusNormal">
    <w:name w:val="ConsPlusNormal"/>
    <w:qFormat/>
    <w:rsid w:val="00527F7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20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005C"/>
  </w:style>
  <w:style w:type="paragraph" w:styleId="a7">
    <w:name w:val="footer"/>
    <w:basedOn w:val="a"/>
    <w:link w:val="a8"/>
    <w:uiPriority w:val="99"/>
    <w:unhideWhenUsed/>
    <w:rsid w:val="00020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005C"/>
  </w:style>
  <w:style w:type="table" w:styleId="a9">
    <w:name w:val="Table Grid"/>
    <w:basedOn w:val="a1"/>
    <w:uiPriority w:val="59"/>
    <w:rsid w:val="00D2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6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67A5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7A2A7F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unhideWhenUsed/>
    <w:rsid w:val="00C505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D N</dc:creator>
  <cp:keywords/>
  <dc:description/>
  <cp:lastModifiedBy>ISPOLKOM</cp:lastModifiedBy>
  <cp:revision>4</cp:revision>
  <cp:lastPrinted>2026-08-19T07:17:00Z</cp:lastPrinted>
  <dcterms:created xsi:type="dcterms:W3CDTF">2026-08-19T08:12:00Z</dcterms:created>
  <dcterms:modified xsi:type="dcterms:W3CDTF">2026-08-19T11:51:00Z</dcterms:modified>
</cp:coreProperties>
</file>